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68"/>
        <w:ind w:left="150" w:right="279" w:firstLine="460"/>
        <w:jc w:val="left"/>
        <w:rPr>
          <w:rFonts w:ascii="楷体" w:eastAsia="楷体" w:hint="eastAsia"/>
          <w:sz w:val="23"/>
        </w:rPr>
      </w:pPr>
      <w:r>
        <w:rPr>
          <w:rFonts w:ascii="楷体" w:eastAsia="楷体" w:hint="eastAsia"/>
          <w:sz w:val="23"/>
        </w:rPr>
        <w:t>根据潮州市建设局《关于潮州市区建设工程材料价格有关问题的通知》（潮建[2002]03号） 的精神，从2001年第4季度起由本站发布的建设工程材料综合价为参考价格（已包括运杂费和采保费）供建设各方参考。</w:t>
      </w:r>
    </w:p>
    <w:p>
      <w:pPr>
        <w:pStyle w:val="BodyText"/>
        <w:rPr>
          <w:rFonts w:ascii="楷体"/>
          <w:sz w:val="22"/>
        </w:rPr>
      </w:pPr>
    </w:p>
    <w:p>
      <w:pPr>
        <w:pStyle w:val="BodyText"/>
        <w:spacing w:before="4"/>
        <w:rPr>
          <w:rFonts w:ascii="楷体"/>
          <w:sz w:val="16"/>
        </w:rPr>
      </w:pPr>
    </w:p>
    <w:p>
      <w:pPr>
        <w:spacing w:before="1"/>
        <w:ind w:left="1535" w:right="1241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潮州市区建设工程2021年7-9月部分材料综合价</w:t>
      </w:r>
    </w:p>
    <w:p>
      <w:pPr>
        <w:pStyle w:val="BodyText"/>
        <w:spacing w:before="10" w:after="1"/>
        <w:rPr>
          <w:rFonts w:ascii="黑体"/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73"/>
        <w:gridCol w:w="1019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78" w:lineRule="exact" w:before="0"/>
              <w:ind w:left="50" w:right="31"/>
              <w:jc w:val="left"/>
              <w:rPr>
                <w:sz w:val="23"/>
              </w:rPr>
            </w:pPr>
            <w:r>
              <w:rPr>
                <w:sz w:val="23"/>
              </w:rPr>
              <w:t>序号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71"/>
              <w:jc w:val="left"/>
              <w:rPr>
                <w:sz w:val="23"/>
              </w:rPr>
            </w:pPr>
            <w:r>
              <w:rPr>
                <w:sz w:val="23"/>
              </w:rPr>
              <w:t>新编码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90"/>
              <w:jc w:val="left"/>
              <w:rPr>
                <w:sz w:val="23"/>
              </w:rPr>
            </w:pPr>
            <w:r>
              <w:rPr>
                <w:sz w:val="23"/>
              </w:rPr>
              <w:t>原编码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1042" w:val="left" w:leader="none"/>
              </w:tabs>
              <w:spacing w:before="0"/>
              <w:ind w:left="581"/>
              <w:jc w:val="left"/>
              <w:rPr>
                <w:sz w:val="23"/>
              </w:rPr>
            </w:pPr>
            <w:r>
              <w:rPr>
                <w:sz w:val="23"/>
              </w:rPr>
              <w:t>名</w:t>
              <w:tab/>
              <w:t>称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883" w:val="left" w:leader="none"/>
              </w:tabs>
              <w:spacing w:before="0"/>
              <w:ind w:left="422"/>
              <w:jc w:val="left"/>
              <w:rPr>
                <w:sz w:val="23"/>
              </w:rPr>
            </w:pPr>
            <w:r>
              <w:rPr>
                <w:sz w:val="23"/>
              </w:rPr>
              <w:t>规</w:t>
              <w:tab/>
              <w:t>格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6" w:right="-15"/>
              <w:jc w:val="left"/>
              <w:rPr>
                <w:sz w:val="23"/>
              </w:rPr>
            </w:pPr>
            <w:r>
              <w:rPr>
                <w:spacing w:val="-10"/>
                <w:sz w:val="23"/>
              </w:rPr>
              <w:t>单位</w:t>
            </w:r>
          </w:p>
        </w:tc>
        <w:tc>
          <w:tcPr>
            <w:tcW w:w="4089" w:type="dxa"/>
            <w:gridSpan w:val="4"/>
          </w:tcPr>
          <w:p>
            <w:pPr>
              <w:pStyle w:val="TableParagraph"/>
              <w:spacing w:line="264" w:lineRule="exact" w:before="99"/>
              <w:ind w:left="1007"/>
              <w:jc w:val="left"/>
              <w:rPr>
                <w:sz w:val="23"/>
              </w:rPr>
            </w:pPr>
            <w:r>
              <w:rPr>
                <w:sz w:val="23"/>
              </w:rPr>
              <w:t>不含税综合价（元）</w:t>
            </w:r>
          </w:p>
        </w:tc>
      </w:tr>
      <w:tr>
        <w:trPr>
          <w:trHeight w:val="383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97" w:lineRule="exact" w:before="166"/>
              <w:ind w:left="339" w:right="320"/>
              <w:rPr>
                <w:sz w:val="19"/>
              </w:rPr>
            </w:pPr>
            <w:r>
              <w:rPr>
                <w:w w:val="105"/>
                <w:sz w:val="19"/>
              </w:rPr>
              <w:t>7月</w:t>
            </w:r>
          </w:p>
        </w:tc>
        <w:tc>
          <w:tcPr>
            <w:tcW w:w="1024" w:type="dxa"/>
          </w:tcPr>
          <w:p>
            <w:pPr>
              <w:pStyle w:val="TableParagraph"/>
              <w:spacing w:line="197" w:lineRule="exact" w:before="166"/>
              <w:ind w:left="342" w:right="322"/>
              <w:rPr>
                <w:sz w:val="19"/>
              </w:rPr>
            </w:pPr>
            <w:r>
              <w:rPr>
                <w:w w:val="105"/>
                <w:sz w:val="19"/>
              </w:rPr>
              <w:t>8月</w:t>
            </w:r>
          </w:p>
        </w:tc>
        <w:tc>
          <w:tcPr>
            <w:tcW w:w="1023" w:type="dxa"/>
          </w:tcPr>
          <w:p>
            <w:pPr>
              <w:pStyle w:val="TableParagraph"/>
              <w:spacing w:line="197" w:lineRule="exact" w:before="166"/>
              <w:ind w:left="19"/>
              <w:rPr>
                <w:sz w:val="19"/>
              </w:rPr>
            </w:pPr>
            <w:r>
              <w:rPr>
                <w:w w:val="105"/>
                <w:sz w:val="19"/>
              </w:rPr>
              <w:t>9月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综合折算税率</w:t>
            </w:r>
          </w:p>
        </w:tc>
      </w:tr>
      <w:tr>
        <w:trPr>
          <w:trHeight w:val="382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1"/>
              <w:ind w:left="96" w:right="81"/>
              <w:rPr>
                <w:sz w:val="15"/>
              </w:rPr>
            </w:pPr>
            <w:r>
              <w:rPr>
                <w:sz w:val="15"/>
              </w:rPr>
              <w:t>01010120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1"/>
              <w:ind w:left="121" w:right="106"/>
              <w:rPr>
                <w:sz w:val="16"/>
              </w:rPr>
            </w:pPr>
            <w:r>
              <w:rPr>
                <w:sz w:val="16"/>
              </w:rPr>
              <w:t>0101031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1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1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3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4858.60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4857.97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5055.60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1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01010125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10～25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4858.02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4849.41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5052.48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01010135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4833.04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4830.08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5027.99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10内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4827.83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4768.94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4968.94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10外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4830.11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4780.51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4994.99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10内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4886.09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4838.21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5052.37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2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10～25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4874.81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4760.16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5038.75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5"/>
              <w:jc w:val="left"/>
              <w:rPr>
                <w:sz w:val="15"/>
              </w:rPr>
            </w:pPr>
            <w:r>
              <w:rPr>
                <w:sz w:val="15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842" w:val="left" w:leader="none"/>
              </w:tabs>
              <w:spacing w:before="103"/>
              <w:ind w:left="24"/>
              <w:jc w:val="left"/>
              <w:rPr>
                <w:sz w:val="15"/>
              </w:rPr>
            </w:pPr>
            <w:r>
              <w:rPr>
                <w:rFonts w:ascii="Arial" w:hAnsi="Arial" w:eastAsia="Arial"/>
                <w:sz w:val="15"/>
              </w:rPr>
              <w:t>φ</w:t>
            </w:r>
            <w:r>
              <w:rPr>
                <w:rFonts w:ascii="Arial" w:hAnsi="Arial" w:eastAsia="Arial"/>
                <w:spacing w:val="8"/>
                <w:sz w:val="15"/>
              </w:rPr>
              <w:t> </w:t>
            </w:r>
            <w:r>
              <w:rPr>
                <w:sz w:val="15"/>
              </w:rPr>
              <w:t>25外</w:t>
              <w:tab/>
              <w:t>HRB400E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8"/>
              <w:rPr>
                <w:sz w:val="15"/>
              </w:rPr>
            </w:pPr>
            <w:r>
              <w:rPr>
                <w:w w:val="99"/>
                <w:sz w:val="15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4882.64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4829.96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5039.67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4726.55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4666.80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4879.18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12～25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4756.32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4690.63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4904.35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01090031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4737.81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4682.01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4853.26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0401013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复合普通硅酸盐水泥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P.C 32.5（R)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441.00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437.96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485.55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467.55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464.51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512.10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3"/>
              <w:ind w:left="121" w:right="106"/>
              <w:rPr>
                <w:sz w:val="16"/>
              </w:rPr>
            </w:pPr>
            <w:r>
              <w:rPr>
                <w:sz w:val="16"/>
              </w:rPr>
              <w:t>0401022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129" w:right="123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0.47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0"/>
              <w:jc w:val="right"/>
              <w:rPr>
                <w:sz w:val="19"/>
              </w:rPr>
            </w:pPr>
            <w:r>
              <w:rPr>
                <w:sz w:val="19"/>
              </w:rPr>
              <w:t>0.46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0.51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52.5（R)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485.25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482.21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529.80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21"/>
              <w:rPr>
                <w:sz w:val="15"/>
              </w:rPr>
            </w:pPr>
            <w:r>
              <w:rPr>
                <w:sz w:val="15"/>
              </w:rPr>
              <w:t>13.00%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04030015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0403021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中砂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164.79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164.10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165.51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04050005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0405011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20～40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99.34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99.32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99.76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30～50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99.74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99.67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100.07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99.93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99.86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100.25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100.61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100.61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100.93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0405061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100.65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100.62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100.96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0405071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99.27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99.25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99.66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0405091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98.78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98.61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99.07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157" w:lineRule="exact" w:before="0"/>
              <w:ind w:left="18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80210425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8021109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C15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408.85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408.69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424.18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80210430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8021115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418.57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418.40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433.89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80210435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433.14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432.98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448.47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993" w:footer="999" w:top="1620" w:bottom="1180" w:left="920" w:right="76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69"/>
        <w:gridCol w:w="1023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8021127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442.86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442.69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458.18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8021133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C35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452.57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452.41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467.90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80210450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C40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467.15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466.99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482.47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80210455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8021145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C45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481.72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481.56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497.05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80210460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25" w:right="14"/>
              <w:rPr>
                <w:sz w:val="16"/>
              </w:rPr>
            </w:pPr>
            <w:r>
              <w:rPr>
                <w:sz w:val="16"/>
              </w:rPr>
              <w:t>C50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496.30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496.13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511.62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80210465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8021505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C55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520.59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520.43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535.91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80210470</w:t>
            </w: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C60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544.88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544.72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560.20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pStyle w:val="BodyText"/>
        <w:spacing w:before="60"/>
        <w:ind w:left="481"/>
      </w:pPr>
      <w:r>
        <w:rPr>
          <w:w w:val="105"/>
        </w:rPr>
        <w:t>备注:</w:t>
      </w:r>
    </w:p>
    <w:p>
      <w:pPr>
        <w:pStyle w:val="BodyText"/>
        <w:spacing w:before="75"/>
        <w:ind w:left="481"/>
      </w:pPr>
      <w:r>
        <w:rPr>
          <w:w w:val="105"/>
        </w:rPr>
        <w:t>1、商品混凝土的有效运距为直径20公里；商品混凝土泵送添加剂、泵送费不包含在价格内。</w:t>
      </w:r>
    </w:p>
    <w:p>
      <w:pPr>
        <w:pStyle w:val="BodyText"/>
        <w:spacing w:before="86"/>
        <w:ind w:left="481"/>
      </w:pPr>
      <w:r>
        <w:rPr>
          <w:w w:val="105"/>
        </w:rPr>
        <w:t>2、在工程招投标和合同签订过程中，建设各方应考虑市场价格涨落因素，明确价格风险系数及调整办法。</w:t>
      </w:r>
    </w:p>
    <w:p>
      <w:pPr>
        <w:pStyle w:val="BodyText"/>
        <w:spacing w:line="321" w:lineRule="auto" w:before="85"/>
        <w:ind w:left="776" w:right="392" w:hanging="296"/>
      </w:pPr>
      <w:r>
        <w:rPr/>
        <w:t>3、发布的材料“信息价”（市场价）</w:t>
      </w:r>
      <w:r>
        <w:rPr>
          <w:spacing w:val="-1"/>
        </w:rPr>
        <w:t>名称调整为“不含税综合价格”，该“不含税综合价格”为不包括进项  </w:t>
      </w:r>
      <w:r>
        <w:rPr>
          <w:w w:val="105"/>
        </w:rPr>
        <w:t>税额的材料原价、运杂费、运输损耗和采购及保管费之和。</w:t>
      </w:r>
    </w:p>
    <w:p>
      <w:pPr>
        <w:pStyle w:val="BodyText"/>
        <w:spacing w:line="324" w:lineRule="auto" w:before="3"/>
        <w:ind w:left="776" w:right="195" w:hanging="296"/>
      </w:pPr>
      <w:r>
        <w:rPr/>
        <w:t>4</w:t>
      </w:r>
      <w:r>
        <w:rPr>
          <w:spacing w:val="-1"/>
        </w:rPr>
        <w:t>、为适应简易计税计价方式、发布不含税材料综合价格时，同时附上该材料的相应综合折税率，使用含税综合   </w:t>
      </w:r>
      <w:r>
        <w:rPr>
          <w:w w:val="105"/>
        </w:rPr>
        <w:t>价格时可以按此换算：材料含税综合价格=材料不含税综合价格×（1+综合折税率）。</w:t>
      </w:r>
    </w:p>
    <w:sectPr>
      <w:pgSz w:w="11910" w:h="16840"/>
      <w:pgMar w:header="993" w:footer="999" w:top="1620" w:bottom="11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809998pt;margin-top:780.743713pt;width:80.75pt;height:11.85pt;mso-position-horizontal-relative:page;mso-position-vertical-relative:page;z-index:-252838912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>
                    <w:spacing w:val="-3"/>
                    <w:w w:val="105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</w:rPr>
                  <w:t> 页，共 </w:t>
                </w:r>
                <w:r>
                  <w:rPr>
                    <w:w w:val="105"/>
                  </w:rPr>
                  <w:t>2</w:t>
                </w:r>
                <w:r>
                  <w:rPr>
                    <w:spacing w:val="-3"/>
                    <w:w w:val="105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59.899994pt;width:485.2pt;height:.5pt;mso-position-horizontal-relative:page;mso-position-vertical-relative:page;z-index:-252841984" coordorigin="1102,1198" coordsize="9704,10">
          <v:line style="position:absolute" from="1102,1203" to="7893,1203" stroked="true" strokeweight=".48pt" strokecolor="#000000">
            <v:stroke dashstyle="solid"/>
          </v:line>
          <v:line style="position:absolute" from="7386,1203" to="10805,1203" stroked="true" strokeweight=".48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10001pt;margin-top:48.643742pt;width:120.1pt;height:11.85pt;mso-position-horizontal-relative:page;mso-position-vertical-relative:page;z-index:-252840960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/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309998pt;margin-top:49.603745pt;width:41.85pt;height:11.85pt;mso-position-horizontal-relative:page;mso-position-vertical-relative:page;z-index:-25283993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19"/>
                  </w:rPr>
                </w:pPr>
                <w:r>
                  <w:rPr>
                    <w:rFonts w:ascii="黑体" w:eastAsia="黑体" w:hint="eastAsia"/>
                    <w:b/>
                    <w:w w:val="105"/>
                    <w:sz w:val="19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2021-12-21T07:24:57Z</dcterms:created>
  <dcterms:modified xsi:type="dcterms:W3CDTF">2021-12-21T07:24:57Z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2021-12-21T00:00:00Z</vt:filetime>
  </property>
</Properties>
</file>